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5" w:rsidRPr="002E4075" w:rsidRDefault="002E4075" w:rsidP="002E4075">
      <w:pPr>
        <w:spacing w:after="135" w:line="240" w:lineRule="auto"/>
        <w:jc w:val="both"/>
        <w:textAlignment w:val="baseline"/>
        <w:rPr>
          <w:rFonts w:ascii="inherit" w:eastAsia="Times New Roman" w:hAnsi="inherit" w:cs="Tahoma"/>
          <w:color w:val="777777"/>
          <w:sz w:val="20"/>
          <w:szCs w:val="20"/>
        </w:rPr>
      </w:pP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Операційний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стельовий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ітильник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серії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LED7500/5500 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висвітлює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без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тіні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може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широко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використовуватися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в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різноманітних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умовах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роботи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для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задоволення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потреб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освітлення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Це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ідеальне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ішення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 для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освітлення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сучасної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операційної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Колірна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температура 4500К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більш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точно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передає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кольори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ніж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біле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холодне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світло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Також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такий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відтінок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ітла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 не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викликає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втому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очей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медичного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персоналу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протягом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довгого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часу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роботи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Тому,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така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лампа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чудово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ідходить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для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освітлення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складної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хірургії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Також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завдяки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панелі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керування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що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розміщена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на одному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з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плафонів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можна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регулювати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яскравість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світла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.</w:t>
      </w:r>
    </w:p>
    <w:p w:rsidR="002E4075" w:rsidRPr="002E4075" w:rsidRDefault="002E4075" w:rsidP="002E407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777777"/>
          <w:sz w:val="20"/>
          <w:szCs w:val="20"/>
        </w:rPr>
      </w:pPr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Корпус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ітильника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виготовлений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 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із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надміцного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пластику, методом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лиття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під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тиском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ітлодіодний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операційний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світильник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 </w:t>
      </w:r>
      <w:r w:rsidRPr="002E4075">
        <w:rPr>
          <w:rFonts w:ascii="inherit" w:eastAsia="Times New Roman" w:hAnsi="inherit" w:cs="Tahoma"/>
          <w:color w:val="777777"/>
          <w:sz w:val="20"/>
          <w:szCs w:val="20"/>
          <w:bdr w:val="none" w:sz="0" w:space="0" w:color="auto" w:frame="1"/>
        </w:rPr>
        <w:t>LED7500/5500</w:t>
      </w:r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 оснащений системою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підвісного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балансу, яка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є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легкою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зручною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. </w:t>
      </w:r>
      <w:proofErr w:type="spellStart"/>
      <w:proofErr w:type="gram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Ш</w:t>
      </w:r>
      <w:proofErr w:type="gram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ість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групових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шарнірів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рухаються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разом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плавно,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стабільно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позиціонуються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і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повертаються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на 360°.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Таке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джерело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світла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для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медицини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є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економним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та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практичним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 xml:space="preserve"> </w:t>
      </w:r>
      <w:proofErr w:type="spellStart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рішенням</w:t>
      </w:r>
      <w:proofErr w:type="spellEnd"/>
      <w:r w:rsidRPr="002E4075">
        <w:rPr>
          <w:rFonts w:ascii="inherit" w:eastAsia="Times New Roman" w:hAnsi="inherit" w:cs="Tahoma"/>
          <w:color w:val="777777"/>
          <w:sz w:val="20"/>
          <w:szCs w:val="20"/>
        </w:rPr>
        <w:t>.</w:t>
      </w:r>
    </w:p>
    <w:tbl>
      <w:tblPr>
        <w:tblW w:w="6855" w:type="dxa"/>
        <w:tblBorders>
          <w:top w:val="single" w:sz="6" w:space="0" w:color="D6D4D4"/>
          <w:left w:val="single" w:sz="6" w:space="0" w:color="D6D4D4"/>
          <w:bottom w:val="single" w:sz="6" w:space="0" w:color="D6D4D4"/>
          <w:right w:val="single" w:sz="6" w:space="0" w:color="D6D4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4815"/>
      </w:tblGrid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gramStart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На стелю</w:t>
            </w:r>
            <w:proofErr w:type="gramEnd"/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Матеріал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 xml:space="preserve">LED </w:t>
            </w:r>
            <w:proofErr w:type="spellStart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Osram</w:t>
            </w:r>
            <w:proofErr w:type="spellEnd"/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Живлення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220-230V 50Hz</w:t>
            </w:r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Потужність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88W/55W</w:t>
            </w:r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Діаметр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700 мм/500 мм</w:t>
            </w:r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Діаметр</w:t>
            </w:r>
            <w:proofErr w:type="spellEnd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св</w:t>
            </w:r>
            <w:proofErr w:type="gramEnd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ітлового</w:t>
            </w:r>
            <w:proofErr w:type="spellEnd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 xml:space="preserve"> поля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Мінімум</w:t>
            </w:r>
            <w:proofErr w:type="spellEnd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 xml:space="preserve"> 280 мм</w:t>
            </w:r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Освітленість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 xml:space="preserve">80000-160000 </w:t>
            </w:r>
            <w:proofErr w:type="spellStart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Lux</w:t>
            </w:r>
            <w:proofErr w:type="spellEnd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 xml:space="preserve">/80000-140000 </w:t>
            </w:r>
            <w:proofErr w:type="spellStart"/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Lux</w:t>
            </w:r>
            <w:proofErr w:type="spellEnd"/>
          </w:p>
        </w:tc>
      </w:tr>
      <w:tr w:rsidR="002E4075" w:rsidRPr="002E4075" w:rsidTr="002E4075">
        <w:tc>
          <w:tcPr>
            <w:tcW w:w="204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</w:pPr>
            <w:proofErr w:type="spellStart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>Кольорова</w:t>
            </w:r>
            <w:proofErr w:type="spellEnd"/>
            <w:r w:rsidRPr="002E4075">
              <w:rPr>
                <w:rFonts w:ascii="inherit" w:eastAsia="Times New Roman" w:hAnsi="inherit" w:cs="Times New Roman"/>
                <w:color w:val="777777"/>
                <w:sz w:val="20"/>
                <w:szCs w:val="20"/>
              </w:rPr>
              <w:t xml:space="preserve"> температура</w:t>
            </w:r>
          </w:p>
        </w:tc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DFDFD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2E4075" w:rsidRPr="002E4075" w:rsidRDefault="002E4075" w:rsidP="002E40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E4075">
              <w:rPr>
                <w:rFonts w:ascii="inherit" w:eastAsia="Times New Roman" w:hAnsi="inherit" w:cs="Times New Roman"/>
                <w:sz w:val="20"/>
                <w:szCs w:val="20"/>
              </w:rPr>
              <w:t>4500K</w:t>
            </w:r>
          </w:p>
        </w:tc>
      </w:tr>
    </w:tbl>
    <w:p w:rsidR="00C43489" w:rsidRDefault="00C43489">
      <w:pPr>
        <w:rPr>
          <w:lang w:val="uk-UA"/>
        </w:rPr>
      </w:pPr>
    </w:p>
    <w:p w:rsidR="006A6118" w:rsidRPr="006A6118" w:rsidRDefault="006A6118">
      <w:pPr>
        <w:rPr>
          <w:b/>
          <w:sz w:val="28"/>
          <w:lang w:val="uk-UA"/>
        </w:rPr>
      </w:pPr>
      <w:r w:rsidRPr="006A6118">
        <w:rPr>
          <w:b/>
          <w:sz w:val="28"/>
          <w:lang w:val="uk-UA"/>
        </w:rPr>
        <w:t xml:space="preserve">Цінова конкурентна пропозиція </w:t>
      </w:r>
      <w:r w:rsidRPr="006A6118">
        <w:rPr>
          <w:rFonts w:ascii="Times New Roman" w:hAnsi="Times New Roman" w:cs="Times New Roman"/>
          <w:b/>
          <w:sz w:val="28"/>
          <w:lang w:val="uk-UA"/>
        </w:rPr>
        <w:t>319 000</w:t>
      </w:r>
    </w:p>
    <w:sectPr w:rsidR="006A6118" w:rsidRPr="006A6118" w:rsidSect="00C4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075"/>
    <w:rsid w:val="002E4075"/>
    <w:rsid w:val="006A6118"/>
    <w:rsid w:val="00C4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2020-10-06T10:34:00Z</dcterms:created>
  <dcterms:modified xsi:type="dcterms:W3CDTF">2020-10-06T11:09:00Z</dcterms:modified>
</cp:coreProperties>
</file>